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spacing w:before="0" w:beforeAutospacing="0" w:after="0" w:afterAutospacing="0" w:line="345" w:lineRule="atLeast"/>
        <w:ind w:left="0" w:right="0"/>
        <w:jc w:val="center"/>
      </w:pPr>
      <w:r>
        <w:rPr>
          <w:rStyle w:val="4"/>
          <w:color w:val="333333"/>
          <w:sz w:val="21"/>
          <w:szCs w:val="21"/>
          <w:bdr w:val="none" w:color="auto" w:sz="0" w:space="0"/>
          <w:shd w:val="clear" w:fill="F3FCF3"/>
        </w:rPr>
        <w:t>关于组织申报第十八届中国专利奖的通知</w:t>
      </w:r>
    </w:p>
    <w:p>
      <w:pPr>
        <w:pStyle w:val="2"/>
        <w:keepNext w:val="0"/>
        <w:keepLines w:val="0"/>
        <w:widowControl/>
        <w:suppressLineNumbers w:val="0"/>
        <w:spacing w:before="0" w:beforeAutospacing="0" w:after="0" w:afterAutospacing="0" w:line="345" w:lineRule="atLeast"/>
        <w:ind w:left="0" w:right="0"/>
        <w:jc w:val="center"/>
      </w:pPr>
      <w:r>
        <w:rPr>
          <w:color w:val="333333"/>
          <w:sz w:val="21"/>
          <w:szCs w:val="21"/>
          <w:bdr w:val="none" w:color="auto" w:sz="0" w:space="0"/>
          <w:shd w:val="clear" w:fill="F3FCF3"/>
        </w:rPr>
        <w:t> </w:t>
      </w:r>
    </w:p>
    <w:p>
      <w:pPr>
        <w:pStyle w:val="2"/>
        <w:keepNext w:val="0"/>
        <w:keepLines w:val="0"/>
        <w:widowControl/>
        <w:suppressLineNumbers w:val="0"/>
        <w:spacing w:before="0" w:beforeAutospacing="0" w:after="0" w:afterAutospacing="0" w:line="345" w:lineRule="atLeast"/>
        <w:ind w:left="0" w:right="0"/>
        <w:jc w:val="center"/>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各有关</w:t>
      </w:r>
      <w:r>
        <w:rPr>
          <w:rFonts w:hint="eastAsia"/>
          <w:color w:val="000000" w:themeColor="text1"/>
          <w:sz w:val="21"/>
          <w:szCs w:val="21"/>
          <w:bdr w:val="none" w:color="auto" w:sz="0" w:space="0"/>
          <w:shd w:val="clear" w:fill="F3FCF3"/>
          <w:lang w:eastAsia="zh-CN"/>
          <w14:textFill>
            <w14:solidFill>
              <w14:schemeClr w14:val="tx1"/>
            </w14:solidFill>
          </w14:textFill>
        </w:rPr>
        <w:t>学院和部门</w:t>
      </w:r>
      <w:r>
        <w:rPr>
          <w:color w:val="000000" w:themeColor="text1"/>
          <w:sz w:val="21"/>
          <w:szCs w:val="21"/>
          <w:bdr w:val="none" w:color="auto" w:sz="0" w:space="0"/>
          <w:shd w:val="clear" w:fill="F3FCF3"/>
          <w14:textFill>
            <w14:solidFill>
              <w14:schemeClr w14:val="tx1"/>
            </w14:solidFill>
          </w14:textFill>
        </w:rPr>
        <w:t>：</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为深入实施知识产权战略和创新驱动发展战略，加快推进知识产权强国建设，强化对知识产权创造、运用、保护和管理的工作导向，国家知识产权局和世界知识产权组织决定开展第十八届中国专利奖评选工作，鼓励和表彰为技术（设计）创新及经济社会发展做出突出贡献的专利权人和发明人（设计人）。</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根据国家知识产权局《关于评选第十八届中国专利奖的通知》（国知发管字〔2016〕19号）要求，现将我局组织第十八届中国专利奖申报工作的有关事项通知如下：</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rStyle w:val="4"/>
          <w:color w:val="000000" w:themeColor="text1"/>
          <w:sz w:val="21"/>
          <w:szCs w:val="21"/>
          <w:bdr w:val="none" w:color="auto" w:sz="0" w:space="0"/>
          <w:shd w:val="clear" w:fill="F3FCF3"/>
          <w14:textFill>
            <w14:solidFill>
              <w14:schemeClr w14:val="tx1"/>
            </w14:solidFill>
          </w14:textFill>
        </w:rPr>
        <w:t>　　一、奖项设置</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中国专利奖设中国专利金奖及中国专利优秀奖、中国外观设计金奖及中国外观设计优秀奖。</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对（第一）专利权人在陕西并在陕西实施转化的获奖项目，省知识产权局将给予中国专利金奖（含中国外观设计金奖）项目每项30万元奖励，给予中国专利优秀奖（含中国外观设计优秀奖）项目每项10万元奖励。</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rStyle w:val="4"/>
          <w:color w:val="000000" w:themeColor="text1"/>
          <w:sz w:val="21"/>
          <w:szCs w:val="21"/>
          <w:bdr w:val="none" w:color="auto" w:sz="0" w:space="0"/>
          <w:shd w:val="clear" w:fill="F3FCF3"/>
          <w14:textFill>
            <w14:solidFill>
              <w14:schemeClr w14:val="tx1"/>
            </w14:solidFill>
          </w14:textFill>
        </w:rPr>
        <w:t>　　二、参评项目要求</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r>
        <w:rPr>
          <w:rStyle w:val="4"/>
          <w:color w:val="000000" w:themeColor="text1"/>
          <w:sz w:val="21"/>
          <w:szCs w:val="21"/>
          <w:bdr w:val="none" w:color="auto" w:sz="0" w:space="0"/>
          <w:shd w:val="clear" w:fill="F3FCF3"/>
          <w14:textFill>
            <w14:solidFill>
              <w14:schemeClr w14:val="tx1"/>
            </w14:solidFill>
          </w14:textFill>
        </w:rPr>
        <w:t>（一）参评条件</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凡是已获得国家知识产权局授权的专利，并同时具备以下条件的，可以参加中国专利奖评选：</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1.在2015年12月31日前（含12月31日，以授权公告日为准）被授予发明、实用新型或外观设计专利权（不含国防专利、保密专利）；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2.专利权有效，无权属纠纷；</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br w:type="textWrapping"/>
      </w:r>
      <w:r>
        <w:rPr>
          <w:color w:val="000000" w:themeColor="text1"/>
          <w:sz w:val="21"/>
          <w:szCs w:val="21"/>
          <w:bdr w:val="none" w:color="auto" w:sz="0" w:space="0"/>
          <w:shd w:val="clear" w:fill="F3FCF3"/>
          <w14:textFill>
            <w14:solidFill>
              <w14:schemeClr w14:val="tx1"/>
            </w14:solidFill>
          </w14:textFill>
        </w:rPr>
        <w:t>　　3.全体专利权人均同意参评；</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br w:type="textWrapping"/>
      </w:r>
      <w:r>
        <w:rPr>
          <w:color w:val="000000" w:themeColor="text1"/>
          <w:sz w:val="21"/>
          <w:szCs w:val="21"/>
          <w:bdr w:val="none" w:color="auto" w:sz="0" w:space="0"/>
          <w:shd w:val="clear" w:fill="F3FCF3"/>
          <w14:textFill>
            <w14:solidFill>
              <w14:schemeClr w14:val="tx1"/>
            </w14:solidFill>
          </w14:textFill>
        </w:rPr>
        <w:t>　　4.未获得过中国专利奖。</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br w:type="textWrapping"/>
      </w:r>
      <w:r>
        <w:rPr>
          <w:color w:val="000000" w:themeColor="text1"/>
          <w:sz w:val="21"/>
          <w:szCs w:val="21"/>
          <w:bdr w:val="none" w:color="auto" w:sz="0" w:space="0"/>
          <w:shd w:val="clear" w:fill="F3FCF3"/>
          <w14:textFill>
            <w14:solidFill>
              <w14:schemeClr w14:val="tx1"/>
            </w14:solidFill>
          </w14:textFill>
        </w:rPr>
        <w:t>　　</w:t>
      </w:r>
      <w:r>
        <w:rPr>
          <w:rStyle w:val="4"/>
          <w:color w:val="000000" w:themeColor="text1"/>
          <w:sz w:val="21"/>
          <w:szCs w:val="21"/>
          <w:bdr w:val="none" w:color="auto" w:sz="0" w:space="0"/>
          <w:shd w:val="clear" w:fill="F3FCF3"/>
          <w14:textFill>
            <w14:solidFill>
              <w14:schemeClr w14:val="tx1"/>
            </w14:solidFill>
          </w14:textFill>
        </w:rPr>
        <w:t>（二）申报要求</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1.一项专利作为一个项目申报；</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2.同一专利权人原则上可申报1项；</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3.重点申报专利质量高，运用和保护成效显著的项目。获得省专利奖一等奖的项目优先申报。</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rStyle w:val="4"/>
          <w:color w:val="000000" w:themeColor="text1"/>
          <w:sz w:val="21"/>
          <w:szCs w:val="21"/>
          <w:bdr w:val="none" w:color="auto" w:sz="0" w:space="0"/>
          <w:shd w:val="clear" w:fill="F3FCF3"/>
          <w14:textFill>
            <w14:solidFill>
              <w14:schemeClr w14:val="tx1"/>
            </w14:solidFill>
          </w14:textFill>
        </w:rPr>
        <w:t>　　三、报送材料及要求</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r>
        <w:rPr>
          <w:rStyle w:val="4"/>
          <w:color w:val="000000" w:themeColor="text1"/>
          <w:sz w:val="21"/>
          <w:szCs w:val="21"/>
          <w:bdr w:val="none" w:color="auto" w:sz="0" w:space="0"/>
          <w:shd w:val="clear" w:fill="F3FCF3"/>
          <w14:textFill>
            <w14:solidFill>
              <w14:schemeClr w14:val="tx1"/>
            </w14:solidFill>
          </w14:textFill>
        </w:rPr>
        <w:t>（一）材料及形式</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1.项目纸质资料2份，申报项目电子件包含：申报书、附件—如图片、照片、获奖证书、项目应用证明等扫描材料）。</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2.其他有必要报送的专利产品实物或模型。</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3.《中国专利奖评奖办法》《中国专利奖申报书》等请到国家知识产权局网站“中国专利奖”专栏了解、下载。</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r>
        <w:rPr>
          <w:rStyle w:val="4"/>
          <w:color w:val="000000" w:themeColor="text1"/>
          <w:sz w:val="21"/>
          <w:szCs w:val="21"/>
          <w:bdr w:val="none" w:color="auto" w:sz="0" w:space="0"/>
          <w:shd w:val="clear" w:fill="F3FCF3"/>
          <w14:textFill>
            <w14:solidFill>
              <w14:schemeClr w14:val="tx1"/>
            </w14:solidFill>
          </w14:textFill>
        </w:rPr>
        <w:t>（二）报送要求</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r>
        <w:rPr>
          <w:rFonts w:hint="eastAsia"/>
          <w:color w:val="000000" w:themeColor="text1"/>
          <w:sz w:val="21"/>
          <w:szCs w:val="21"/>
          <w:bdr w:val="none" w:color="auto" w:sz="0" w:space="0"/>
          <w:shd w:val="clear" w:fill="F3FCF3"/>
          <w:lang w:eastAsia="zh-CN"/>
          <w14:textFill>
            <w14:solidFill>
              <w14:schemeClr w14:val="tx1"/>
            </w14:solidFill>
          </w14:textFill>
        </w:rPr>
        <w:t>省知识产权局实行限项，</w:t>
      </w:r>
      <w:r>
        <w:rPr>
          <w:color w:val="000000" w:themeColor="text1"/>
          <w:sz w:val="21"/>
          <w:szCs w:val="21"/>
          <w:bdr w:val="none" w:color="auto" w:sz="0" w:space="0"/>
          <w:shd w:val="clear" w:fill="F3FCF3"/>
          <w14:textFill>
            <w14:solidFill>
              <w14:schemeClr w14:val="tx1"/>
            </w14:solidFill>
          </w14:textFill>
        </w:rPr>
        <w:t>省级有关部门及西安市、宝鸡市、咸阳市可推荐2项，其他市（区）和国家级开发区可推荐1项；各大型企业、高等院校及省级以上科研机构可直报1项。各申报</w:t>
      </w:r>
      <w:r>
        <w:rPr>
          <w:rFonts w:hint="eastAsia"/>
          <w:color w:val="000000" w:themeColor="text1"/>
          <w:sz w:val="21"/>
          <w:szCs w:val="21"/>
          <w:bdr w:val="none" w:color="auto" w:sz="0" w:space="0"/>
          <w:shd w:val="clear" w:fill="F3FCF3"/>
          <w:lang w:eastAsia="zh-CN"/>
          <w14:textFill>
            <w14:solidFill>
              <w14:schemeClr w14:val="tx1"/>
            </w14:solidFill>
          </w14:textFill>
        </w:rPr>
        <w:t>人</w:t>
      </w:r>
      <w:r>
        <w:rPr>
          <w:color w:val="000000" w:themeColor="text1"/>
          <w:sz w:val="21"/>
          <w:szCs w:val="21"/>
          <w:bdr w:val="none" w:color="auto" w:sz="0" w:space="0"/>
          <w:shd w:val="clear" w:fill="F3FCF3"/>
          <w14:textFill>
            <w14:solidFill>
              <w14:schemeClr w14:val="tx1"/>
            </w14:solidFill>
          </w14:textFill>
        </w:rPr>
        <w:t>应在2016年4月</w:t>
      </w:r>
      <w:r>
        <w:rPr>
          <w:rFonts w:hint="eastAsia"/>
          <w:color w:val="000000" w:themeColor="text1"/>
          <w:sz w:val="21"/>
          <w:szCs w:val="21"/>
          <w:bdr w:val="none" w:color="auto" w:sz="0" w:space="0"/>
          <w:shd w:val="clear" w:fill="F3FCF3"/>
          <w:lang w:val="en-US" w:eastAsia="zh-CN"/>
          <w14:textFill>
            <w14:solidFill>
              <w14:schemeClr w14:val="tx1"/>
            </w14:solidFill>
          </w14:textFill>
        </w:rPr>
        <w:t>5</w:t>
      </w:r>
      <w:r>
        <w:rPr>
          <w:color w:val="000000" w:themeColor="text1"/>
          <w:sz w:val="21"/>
          <w:szCs w:val="21"/>
          <w:bdr w:val="none" w:color="auto" w:sz="0" w:space="0"/>
          <w:shd w:val="clear" w:fill="F3FCF3"/>
          <w14:textFill>
            <w14:solidFill>
              <w14:schemeClr w14:val="tx1"/>
            </w14:solidFill>
          </w14:textFill>
        </w:rPr>
        <w:t>日前将申报材料报送至</w:t>
      </w:r>
      <w:r>
        <w:rPr>
          <w:rFonts w:hint="eastAsia"/>
          <w:color w:val="000000" w:themeColor="text1"/>
          <w:sz w:val="21"/>
          <w:szCs w:val="21"/>
          <w:bdr w:val="none" w:color="auto" w:sz="0" w:space="0"/>
          <w:shd w:val="clear" w:fill="F3FCF3"/>
          <w:lang w:eastAsia="zh-CN"/>
          <w14:textFill>
            <w14:solidFill>
              <w14:schemeClr w14:val="tx1"/>
            </w14:solidFill>
          </w14:textFill>
        </w:rPr>
        <w:t>科技处</w:t>
      </w:r>
      <w:r>
        <w:rPr>
          <w:color w:val="000000" w:themeColor="text1"/>
          <w:sz w:val="21"/>
          <w:szCs w:val="21"/>
          <w:bdr w:val="none" w:color="auto" w:sz="0" w:space="0"/>
          <w:shd w:val="clear" w:fill="F3FCF3"/>
          <w14:textFill>
            <w14:solidFill>
              <w14:schemeClr w14:val="tx1"/>
            </w14:solidFill>
          </w14:textFill>
        </w:rPr>
        <w:t>，逾期不予受理。</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bookmarkStart w:id="0" w:name="_GoBack"/>
      <w:bookmarkEnd w:id="0"/>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rStyle w:val="4"/>
          <w:color w:val="000000" w:themeColor="text1"/>
          <w:sz w:val="21"/>
          <w:szCs w:val="21"/>
          <w:bdr w:val="none" w:color="auto" w:sz="0" w:space="0"/>
          <w:shd w:val="clear" w:fill="F3FCF3"/>
          <w14:textFill>
            <w14:solidFill>
              <w14:schemeClr w14:val="tx1"/>
            </w14:solidFill>
          </w14:textFill>
        </w:rPr>
        <w:t>　　四、联系方式</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电  话：（029）</w:t>
      </w:r>
      <w:r>
        <w:rPr>
          <w:rFonts w:hint="eastAsia"/>
          <w:color w:val="000000" w:themeColor="text1"/>
          <w:sz w:val="21"/>
          <w:szCs w:val="21"/>
          <w:bdr w:val="none" w:color="auto" w:sz="0" w:space="0"/>
          <w:shd w:val="clear" w:fill="F3FCF3"/>
          <w:lang w:val="en-US" w:eastAsia="zh-CN"/>
          <w14:textFill>
            <w14:solidFill>
              <w14:schemeClr w14:val="tx1"/>
            </w14:solidFill>
          </w14:textFill>
        </w:rPr>
        <w:t>88219308</w:t>
      </w: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w:t>
      </w:r>
    </w:p>
    <w:p>
      <w:pPr>
        <w:pStyle w:val="2"/>
        <w:keepNext w:val="0"/>
        <w:keepLines w:val="0"/>
        <w:widowControl/>
        <w:suppressLineNumbers w:val="0"/>
        <w:spacing w:before="0" w:beforeAutospacing="0" w:after="0" w:afterAutospacing="0" w:line="345" w:lineRule="atLeast"/>
        <w:ind w:left="0" w:right="0"/>
        <w:jc w:val="left"/>
        <w:rPr>
          <w:color w:val="000000" w:themeColor="text1"/>
          <w14:textFill>
            <w14:solidFill>
              <w14:schemeClr w14:val="tx1"/>
            </w14:solidFill>
          </w14:textFill>
        </w:rPr>
      </w:pPr>
      <w:r>
        <w:rPr>
          <w:color w:val="000000" w:themeColor="text1"/>
          <w:sz w:val="21"/>
          <w:szCs w:val="21"/>
          <w:bdr w:val="none" w:color="auto" w:sz="0" w:space="0"/>
          <w:shd w:val="clear" w:fill="F3FCF3"/>
          <w14:textFill>
            <w14:solidFill>
              <w14:schemeClr w14:val="tx1"/>
            </w14:solidFill>
          </w14:textFill>
        </w:rPr>
        <w:t>　　联系人：</w:t>
      </w:r>
      <w:r>
        <w:rPr>
          <w:rFonts w:hint="eastAsia"/>
          <w:color w:val="000000" w:themeColor="text1"/>
          <w:sz w:val="21"/>
          <w:szCs w:val="21"/>
          <w:bdr w:val="none" w:color="auto" w:sz="0" w:space="0"/>
          <w:shd w:val="clear" w:fill="F3FCF3"/>
          <w:lang w:eastAsia="zh-CN"/>
          <w14:textFill>
            <w14:solidFill>
              <w14:schemeClr w14:val="tx1"/>
            </w14:solidFill>
          </w14:textFill>
        </w:rPr>
        <w:t>刘立焱</w:t>
      </w:r>
    </w:p>
    <w:p>
      <w:pPr>
        <w:pStyle w:val="2"/>
        <w:keepNext w:val="0"/>
        <w:keepLines w:val="0"/>
        <w:widowControl/>
        <w:suppressLineNumbers w:val="0"/>
        <w:spacing w:before="0" w:beforeAutospacing="0" w:after="0" w:afterAutospacing="0" w:line="345" w:lineRule="atLeast"/>
        <w:ind w:left="0" w:right="0"/>
        <w:jc w:val="left"/>
      </w:pPr>
      <w:r>
        <w:rPr>
          <w:color w:val="333333"/>
          <w:sz w:val="21"/>
          <w:szCs w:val="21"/>
          <w:bdr w:val="none" w:color="auto" w:sz="0" w:space="0"/>
          <w:shd w:val="clear" w:fill="F3FCF3"/>
        </w:rPr>
        <w:t> </w:t>
      </w:r>
    </w:p>
    <w:p>
      <w:pPr>
        <w:pStyle w:val="2"/>
        <w:keepNext w:val="0"/>
        <w:keepLines w:val="0"/>
        <w:widowControl/>
        <w:suppressLineNumbers w:val="0"/>
        <w:spacing w:before="0" w:beforeAutospacing="0" w:after="0" w:afterAutospacing="0" w:line="345" w:lineRule="atLeast"/>
        <w:ind w:left="0" w:right="0"/>
        <w:jc w:val="left"/>
      </w:pPr>
      <w:r>
        <w:rPr>
          <w:color w:val="333333"/>
          <w:sz w:val="21"/>
          <w:szCs w:val="21"/>
          <w:bdr w:val="none" w:color="auto" w:sz="0" w:space="0"/>
          <w:shd w:val="clear" w:fill="F3FCF3"/>
        </w:rPr>
        <w:t>　</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D82E2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000000"/>
      <w:u w:val="none"/>
    </w:rPr>
  </w:style>
  <w:style w:type="character" w:styleId="6">
    <w:name w:val="Hyperlink"/>
    <w:basedOn w:val="3"/>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2016-03-30T11:10:53Z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